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55"/>
        <w:gridCol w:w="7484"/>
      </w:tblGrid>
      <w:tr w:rsidR="00087012" w:rsidRPr="00087012" w:rsidTr="007D5248">
        <w:trPr>
          <w:jc w:val="center"/>
        </w:trPr>
        <w:tc>
          <w:tcPr>
            <w:tcW w:w="2155"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rPr>
            </w:pPr>
            <w:r w:rsidRPr="00087012">
              <w:rPr>
                <w:rFonts w:ascii="Times New Roman" w:eastAsia="標楷體" w:hAnsi="Times New Roman" w:cs="Times New Roman" w:hint="eastAsia"/>
                <w:bCs/>
                <w:color w:val="000000"/>
                <w:szCs w:val="20"/>
              </w:rPr>
              <w:t>技術名稱</w:t>
            </w:r>
          </w:p>
        </w:tc>
        <w:tc>
          <w:tcPr>
            <w:tcW w:w="7484"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rPr>
            </w:pPr>
            <w:bookmarkStart w:id="0" w:name="_GoBack"/>
            <w:proofErr w:type="gramStart"/>
            <w:r w:rsidRPr="00087012">
              <w:rPr>
                <w:rFonts w:ascii="Times New Roman" w:eastAsia="標楷體" w:hAnsi="Times New Roman" w:cs="Times New Roman" w:hint="eastAsia"/>
                <w:bCs/>
                <w:color w:val="000000"/>
                <w:szCs w:val="20"/>
              </w:rPr>
              <w:t>畜肉生食</w:t>
            </w:r>
            <w:proofErr w:type="gramEnd"/>
            <w:r w:rsidRPr="00087012">
              <w:rPr>
                <w:rFonts w:ascii="Times New Roman" w:eastAsia="標楷體" w:hAnsi="Times New Roman" w:cs="Times New Roman" w:hint="eastAsia"/>
                <w:bCs/>
                <w:color w:val="000000"/>
                <w:szCs w:val="20"/>
              </w:rPr>
              <w:t>材高壓質地調整技術</w:t>
            </w:r>
            <w:r w:rsidRPr="00087012">
              <w:rPr>
                <w:rFonts w:ascii="Times New Roman" w:eastAsia="標楷體" w:hAnsi="Times New Roman" w:cs="Times New Roman"/>
                <w:bCs/>
                <w:color w:val="000000"/>
                <w:szCs w:val="20"/>
              </w:rPr>
              <w:t>-</w:t>
            </w:r>
            <w:r w:rsidRPr="00087012">
              <w:rPr>
                <w:rFonts w:ascii="Times New Roman" w:eastAsia="標楷體" w:hAnsi="Times New Roman" w:cs="Times New Roman" w:hint="eastAsia"/>
                <w:bCs/>
                <w:color w:val="000000"/>
                <w:szCs w:val="20"/>
              </w:rPr>
              <w:t>容易咀嚼</w:t>
            </w:r>
            <w:bookmarkEnd w:id="0"/>
          </w:p>
        </w:tc>
      </w:tr>
      <w:tr w:rsidR="00087012" w:rsidRPr="00087012" w:rsidTr="007D5248">
        <w:trPr>
          <w:jc w:val="center"/>
        </w:trPr>
        <w:tc>
          <w:tcPr>
            <w:tcW w:w="2155"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rPr>
            </w:pPr>
            <w:r w:rsidRPr="00087012">
              <w:rPr>
                <w:rFonts w:ascii="Times New Roman" w:eastAsia="標楷體" w:hAnsi="Times New Roman" w:cs="Times New Roman" w:hint="eastAsia"/>
                <w:bCs/>
                <w:color w:val="000000"/>
                <w:szCs w:val="20"/>
              </w:rPr>
              <w:t>本所技術編號</w:t>
            </w:r>
          </w:p>
        </w:tc>
        <w:tc>
          <w:tcPr>
            <w:tcW w:w="7484"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rPr>
            </w:pPr>
            <w:r w:rsidRPr="00087012">
              <w:rPr>
                <w:rFonts w:ascii="Times New Roman" w:eastAsia="標楷體" w:hAnsi="Times New Roman" w:cs="Times New Roman"/>
                <w:bCs/>
                <w:color w:val="000000"/>
                <w:szCs w:val="20"/>
              </w:rPr>
              <w:t>AT11102</w:t>
            </w:r>
          </w:p>
        </w:tc>
      </w:tr>
      <w:tr w:rsidR="00087012" w:rsidRPr="00087012" w:rsidTr="007D5248">
        <w:trPr>
          <w:jc w:val="center"/>
        </w:trPr>
        <w:tc>
          <w:tcPr>
            <w:tcW w:w="2155"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rPr>
            </w:pPr>
            <w:r w:rsidRPr="00087012">
              <w:rPr>
                <w:rFonts w:ascii="Times New Roman" w:eastAsia="標楷體" w:hAnsi="Times New Roman" w:cs="Times New Roman" w:hint="eastAsia"/>
                <w:bCs/>
                <w:color w:val="000000"/>
                <w:szCs w:val="20"/>
              </w:rPr>
              <w:t>技術現況</w:t>
            </w:r>
          </w:p>
        </w:tc>
        <w:tc>
          <w:tcPr>
            <w:tcW w:w="7484"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rPr>
            </w:pPr>
            <w:r w:rsidRPr="00087012">
              <w:rPr>
                <w:rFonts w:ascii="Times New Roman" w:eastAsia="標楷體" w:hAnsi="Times New Roman" w:cs="Times New Roman" w:hint="eastAsia"/>
                <w:bCs/>
                <w:color w:val="000000"/>
                <w:szCs w:val="20"/>
              </w:rPr>
              <w:t>市</w:t>
            </w:r>
            <w:proofErr w:type="gramStart"/>
            <w:r w:rsidRPr="00087012">
              <w:rPr>
                <w:rFonts w:ascii="Times New Roman" w:eastAsia="標楷體" w:hAnsi="Times New Roman" w:cs="Times New Roman" w:hint="eastAsia"/>
                <w:bCs/>
                <w:color w:val="000000"/>
                <w:szCs w:val="20"/>
              </w:rPr>
              <w:t>售畜肉食材經</w:t>
            </w:r>
            <w:proofErr w:type="gramEnd"/>
            <w:r w:rsidRPr="00087012">
              <w:rPr>
                <w:rFonts w:ascii="Times New Roman" w:eastAsia="標楷體" w:hAnsi="Times New Roman" w:cs="Times New Roman" w:hint="eastAsia"/>
                <w:bCs/>
                <w:color w:val="000000"/>
                <w:szCs w:val="20"/>
              </w:rPr>
              <w:t>加熱後硬度皆超過容易咀嚼上限值，本技術運用高壓製程處理</w:t>
            </w:r>
            <w:proofErr w:type="gramStart"/>
            <w:r w:rsidRPr="00087012">
              <w:rPr>
                <w:rFonts w:ascii="Times New Roman" w:eastAsia="標楷體" w:hAnsi="Times New Roman" w:cs="Times New Roman" w:hint="eastAsia"/>
                <w:bCs/>
                <w:color w:val="000000"/>
                <w:szCs w:val="20"/>
              </w:rPr>
              <w:t>國產畜</w:t>
            </w:r>
            <w:proofErr w:type="gramEnd"/>
            <w:r w:rsidRPr="00087012">
              <w:rPr>
                <w:rFonts w:ascii="Times New Roman" w:eastAsia="標楷體" w:hAnsi="Times New Roman" w:cs="Times New Roman" w:hint="eastAsia"/>
                <w:bCs/>
                <w:color w:val="000000"/>
                <w:szCs w:val="20"/>
              </w:rPr>
              <w:t>肉食材，藉由壓力、</w:t>
            </w:r>
            <w:proofErr w:type="gramStart"/>
            <w:r w:rsidRPr="00087012">
              <w:rPr>
                <w:rFonts w:ascii="Times New Roman" w:eastAsia="標楷體" w:hAnsi="Times New Roman" w:cs="Times New Roman" w:hint="eastAsia"/>
                <w:bCs/>
                <w:color w:val="000000"/>
                <w:szCs w:val="20"/>
              </w:rPr>
              <w:t>持壓時間</w:t>
            </w:r>
            <w:proofErr w:type="gramEnd"/>
            <w:r w:rsidRPr="00087012">
              <w:rPr>
                <w:rFonts w:ascii="Times New Roman" w:eastAsia="標楷體" w:hAnsi="Times New Roman" w:cs="Times New Roman" w:hint="eastAsia"/>
                <w:bCs/>
                <w:color w:val="000000"/>
                <w:szCs w:val="20"/>
              </w:rPr>
              <w:t>參數組合設計，相較控制組，高壓</w:t>
            </w:r>
            <w:proofErr w:type="gramStart"/>
            <w:r w:rsidRPr="00087012">
              <w:rPr>
                <w:rFonts w:ascii="Times New Roman" w:eastAsia="標楷體" w:hAnsi="Times New Roman" w:cs="Times New Roman" w:hint="eastAsia"/>
                <w:bCs/>
                <w:color w:val="000000"/>
                <w:szCs w:val="20"/>
              </w:rPr>
              <w:t>處理畜</w:t>
            </w:r>
            <w:proofErr w:type="gramEnd"/>
            <w:r w:rsidRPr="00087012">
              <w:rPr>
                <w:rFonts w:ascii="Times New Roman" w:eastAsia="標楷體" w:hAnsi="Times New Roman" w:cs="Times New Roman" w:hint="eastAsia"/>
                <w:bCs/>
                <w:color w:val="000000"/>
                <w:szCs w:val="20"/>
              </w:rPr>
              <w:t>肉熟化硬度值可下降</w:t>
            </w:r>
            <w:r w:rsidRPr="00087012">
              <w:rPr>
                <w:rFonts w:ascii="Times New Roman" w:eastAsia="標楷體" w:hAnsi="Times New Roman" w:cs="Times New Roman"/>
                <w:bCs/>
                <w:color w:val="000000"/>
                <w:szCs w:val="20"/>
              </w:rPr>
              <w:t>20%</w:t>
            </w:r>
            <w:r w:rsidRPr="00087012">
              <w:rPr>
                <w:rFonts w:ascii="Times New Roman" w:eastAsia="標楷體" w:hAnsi="Times New Roman" w:cs="Times New Roman" w:hint="eastAsia"/>
                <w:bCs/>
                <w:color w:val="000000"/>
                <w:szCs w:val="20"/>
              </w:rPr>
              <w:t>。高壓製程複合酵素處理，</w:t>
            </w:r>
            <w:proofErr w:type="gramStart"/>
            <w:r w:rsidRPr="00087012">
              <w:rPr>
                <w:rFonts w:ascii="Times New Roman" w:eastAsia="標楷體" w:hAnsi="Times New Roman" w:cs="Times New Roman" w:hint="eastAsia"/>
                <w:bCs/>
                <w:color w:val="000000"/>
                <w:szCs w:val="20"/>
              </w:rPr>
              <w:t>畜肉生食</w:t>
            </w:r>
            <w:proofErr w:type="gramEnd"/>
            <w:r w:rsidRPr="00087012">
              <w:rPr>
                <w:rFonts w:ascii="Times New Roman" w:eastAsia="標楷體" w:hAnsi="Times New Roman" w:cs="Times New Roman" w:hint="eastAsia"/>
                <w:bCs/>
                <w:color w:val="000000"/>
                <w:szCs w:val="20"/>
              </w:rPr>
              <w:t>材可</w:t>
            </w:r>
            <w:proofErr w:type="gramStart"/>
            <w:r w:rsidRPr="00087012">
              <w:rPr>
                <w:rFonts w:ascii="Times New Roman" w:eastAsia="標楷體" w:hAnsi="Times New Roman" w:cs="Times New Roman" w:hint="eastAsia"/>
                <w:bCs/>
                <w:color w:val="000000"/>
                <w:szCs w:val="20"/>
              </w:rPr>
              <w:t>維持原態</w:t>
            </w:r>
            <w:proofErr w:type="gramEnd"/>
            <w:r w:rsidRPr="00087012">
              <w:rPr>
                <w:rFonts w:ascii="Times New Roman" w:eastAsia="標楷體" w:hAnsi="Times New Roman" w:cs="Times New Roman" w:hint="eastAsia"/>
                <w:bCs/>
                <w:color w:val="000000"/>
                <w:szCs w:val="20"/>
              </w:rPr>
              <w:t>，經加熱烹調後符合臺灣銀髮友善食品質地區分規格：容易咀嚼。</w:t>
            </w:r>
          </w:p>
        </w:tc>
      </w:tr>
      <w:tr w:rsidR="00087012" w:rsidRPr="00087012" w:rsidTr="007D5248">
        <w:trPr>
          <w:jc w:val="center"/>
        </w:trPr>
        <w:tc>
          <w:tcPr>
            <w:tcW w:w="2155"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rPr>
            </w:pPr>
            <w:r w:rsidRPr="00087012">
              <w:rPr>
                <w:rFonts w:ascii="Times New Roman" w:eastAsia="標楷體" w:hAnsi="Times New Roman" w:cs="Times New Roman" w:hint="eastAsia"/>
                <w:bCs/>
                <w:color w:val="000000"/>
                <w:szCs w:val="20"/>
              </w:rPr>
              <w:t>技術規格</w:t>
            </w:r>
          </w:p>
        </w:tc>
        <w:tc>
          <w:tcPr>
            <w:tcW w:w="7484" w:type="dxa"/>
            <w:vAlign w:val="center"/>
            <w:hideMark/>
          </w:tcPr>
          <w:p w:rsidR="00087012" w:rsidRPr="00087012" w:rsidRDefault="00087012" w:rsidP="00087012">
            <w:pPr>
              <w:snapToGrid w:val="0"/>
              <w:spacing w:before="80" w:after="80"/>
              <w:ind w:left="295" w:right="57" w:hanging="238"/>
              <w:jc w:val="both"/>
              <w:rPr>
                <w:rFonts w:ascii="Times New Roman" w:eastAsia="標楷體" w:hAnsi="Times New Roman" w:cs="Times New Roman"/>
                <w:bCs/>
                <w:color w:val="000000"/>
                <w:szCs w:val="20"/>
              </w:rPr>
            </w:pPr>
            <w:r w:rsidRPr="00087012">
              <w:rPr>
                <w:rFonts w:ascii="Times New Roman" w:eastAsia="標楷體" w:hAnsi="Times New Roman" w:cs="Times New Roman"/>
                <w:bCs/>
                <w:color w:val="000000"/>
                <w:szCs w:val="20"/>
              </w:rPr>
              <w:t>1.</w:t>
            </w:r>
            <w:r w:rsidRPr="00087012">
              <w:rPr>
                <w:rFonts w:ascii="Times New Roman" w:eastAsia="標楷體" w:hAnsi="Times New Roman" w:cs="Times New Roman"/>
                <w:bCs/>
                <w:color w:val="000000"/>
                <w:szCs w:val="20"/>
              </w:rPr>
              <w:tab/>
            </w:r>
            <w:r w:rsidRPr="00087012">
              <w:rPr>
                <w:rFonts w:ascii="Times New Roman" w:eastAsia="標楷體" w:hAnsi="Times New Roman" w:cs="Times New Roman" w:hint="eastAsia"/>
                <w:bCs/>
                <w:color w:val="000000"/>
                <w:szCs w:val="20"/>
              </w:rPr>
              <w:t>以</w:t>
            </w:r>
            <w:proofErr w:type="gramStart"/>
            <w:r w:rsidRPr="00087012">
              <w:rPr>
                <w:rFonts w:ascii="Times New Roman" w:eastAsia="標楷體" w:hAnsi="Times New Roman" w:cs="Times New Roman" w:hint="eastAsia"/>
                <w:bCs/>
                <w:color w:val="000000"/>
                <w:szCs w:val="20"/>
              </w:rPr>
              <w:t>國產畜</w:t>
            </w:r>
            <w:proofErr w:type="gramEnd"/>
            <w:r w:rsidRPr="00087012">
              <w:rPr>
                <w:rFonts w:ascii="Times New Roman" w:eastAsia="標楷體" w:hAnsi="Times New Roman" w:cs="Times New Roman" w:hint="eastAsia"/>
                <w:bCs/>
                <w:color w:val="000000"/>
                <w:szCs w:val="20"/>
              </w:rPr>
              <w:t>肉為原料，經高壓質地調整維持畜肉食材</w:t>
            </w:r>
            <w:proofErr w:type="gramStart"/>
            <w:r w:rsidRPr="00087012">
              <w:rPr>
                <w:rFonts w:ascii="Times New Roman" w:eastAsia="標楷體" w:hAnsi="Times New Roman" w:cs="Times New Roman" w:hint="eastAsia"/>
                <w:bCs/>
                <w:color w:val="000000"/>
                <w:szCs w:val="20"/>
              </w:rPr>
              <w:t>原態，非泥狀塑</w:t>
            </w:r>
            <w:proofErr w:type="gramEnd"/>
            <w:r w:rsidRPr="00087012">
              <w:rPr>
                <w:rFonts w:ascii="Times New Roman" w:eastAsia="標楷體" w:hAnsi="Times New Roman" w:cs="Times New Roman" w:hint="eastAsia"/>
                <w:bCs/>
                <w:color w:val="000000"/>
                <w:szCs w:val="20"/>
              </w:rPr>
              <w:t>型。</w:t>
            </w:r>
          </w:p>
          <w:p w:rsidR="00087012" w:rsidRPr="00087012" w:rsidRDefault="00087012" w:rsidP="00087012">
            <w:pPr>
              <w:snapToGrid w:val="0"/>
              <w:spacing w:before="80" w:after="80"/>
              <w:ind w:left="295" w:right="57" w:hanging="238"/>
              <w:jc w:val="both"/>
              <w:rPr>
                <w:rFonts w:ascii="Times New Roman" w:eastAsia="標楷體" w:hAnsi="Times New Roman" w:cs="Times New Roman"/>
                <w:bCs/>
                <w:color w:val="000000"/>
                <w:szCs w:val="20"/>
              </w:rPr>
            </w:pPr>
            <w:r w:rsidRPr="00087012">
              <w:rPr>
                <w:rFonts w:ascii="Times New Roman" w:eastAsia="標楷體" w:hAnsi="Times New Roman" w:cs="Times New Roman"/>
                <w:bCs/>
                <w:color w:val="000000"/>
                <w:szCs w:val="20"/>
              </w:rPr>
              <w:t>2.</w:t>
            </w:r>
            <w:r w:rsidRPr="00087012">
              <w:rPr>
                <w:rFonts w:ascii="Times New Roman" w:eastAsia="標楷體" w:hAnsi="Times New Roman" w:cs="Times New Roman"/>
                <w:bCs/>
                <w:color w:val="000000"/>
                <w:szCs w:val="20"/>
              </w:rPr>
              <w:tab/>
            </w:r>
            <w:r w:rsidRPr="00087012">
              <w:rPr>
                <w:rFonts w:ascii="Times New Roman" w:eastAsia="標楷體" w:hAnsi="Times New Roman" w:cs="Times New Roman" w:hint="eastAsia"/>
                <w:bCs/>
                <w:color w:val="000000"/>
                <w:szCs w:val="20"/>
              </w:rPr>
              <w:t>容易咀嚼：經熱處理後硬度值小於</w:t>
            </w:r>
            <w:r w:rsidRPr="00087012">
              <w:rPr>
                <w:rFonts w:ascii="Times New Roman" w:eastAsia="標楷體" w:hAnsi="Times New Roman" w:cs="Times New Roman"/>
                <w:bCs/>
                <w:color w:val="000000"/>
                <w:szCs w:val="20"/>
              </w:rPr>
              <w:t>5 × 10</w:t>
            </w:r>
            <w:r w:rsidRPr="00087012">
              <w:rPr>
                <w:rFonts w:ascii="Times New Roman" w:eastAsia="標楷體" w:hAnsi="Times New Roman" w:cs="Times New Roman"/>
                <w:bCs/>
                <w:color w:val="000000"/>
                <w:szCs w:val="20"/>
                <w:vertAlign w:val="superscript"/>
              </w:rPr>
              <w:t>5</w:t>
            </w:r>
            <w:r w:rsidRPr="00087012">
              <w:rPr>
                <w:rFonts w:ascii="Times New Roman" w:eastAsia="標楷體" w:hAnsi="Times New Roman" w:cs="Times New Roman"/>
                <w:bCs/>
                <w:color w:val="000000"/>
                <w:szCs w:val="20"/>
              </w:rPr>
              <w:t xml:space="preserve"> N/m</w:t>
            </w:r>
            <w:r w:rsidRPr="00087012">
              <w:rPr>
                <w:rFonts w:ascii="Times New Roman" w:eastAsia="標楷體" w:hAnsi="Times New Roman" w:cs="Times New Roman"/>
                <w:bCs/>
                <w:color w:val="000000"/>
                <w:szCs w:val="20"/>
                <w:vertAlign w:val="superscript"/>
              </w:rPr>
              <w:t>2</w:t>
            </w:r>
            <w:r w:rsidRPr="00087012">
              <w:rPr>
                <w:rFonts w:ascii="Times New Roman" w:eastAsia="標楷體" w:hAnsi="Times New Roman" w:cs="Times New Roman" w:hint="eastAsia"/>
                <w:bCs/>
                <w:color w:val="000000"/>
                <w:szCs w:val="20"/>
              </w:rPr>
              <w:t>。</w:t>
            </w:r>
          </w:p>
        </w:tc>
      </w:tr>
      <w:tr w:rsidR="00087012" w:rsidRPr="00087012" w:rsidTr="007D5248">
        <w:trPr>
          <w:jc w:val="center"/>
        </w:trPr>
        <w:tc>
          <w:tcPr>
            <w:tcW w:w="2155"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rPr>
            </w:pPr>
            <w:r w:rsidRPr="00087012">
              <w:rPr>
                <w:rFonts w:ascii="Times New Roman" w:eastAsia="標楷體" w:hAnsi="Times New Roman" w:cs="Times New Roman" w:hint="eastAsia"/>
                <w:bCs/>
                <w:color w:val="000000"/>
                <w:szCs w:val="20"/>
              </w:rPr>
              <w:t>技術成熟度</w:t>
            </w:r>
          </w:p>
        </w:tc>
        <w:tc>
          <w:tcPr>
            <w:tcW w:w="7484"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rPr>
            </w:pPr>
            <w:r w:rsidRPr="00087012">
              <w:rPr>
                <w:rFonts w:ascii="Times New Roman" w:eastAsia="標楷體" w:hAnsi="Times New Roman" w:cs="Times New Roman" w:hint="eastAsia"/>
                <w:bCs/>
                <w:color w:val="000000"/>
                <w:szCs w:val="20"/>
              </w:rPr>
              <w:t>□量產</w:t>
            </w:r>
            <w:r w:rsidRPr="00087012">
              <w:rPr>
                <w:rFonts w:ascii="Times New Roman" w:eastAsia="標楷體" w:hAnsi="Times New Roman" w:cs="Times New Roman"/>
                <w:bCs/>
                <w:color w:val="000000"/>
                <w:szCs w:val="20"/>
              </w:rPr>
              <w:t xml:space="preserve"> </w:t>
            </w:r>
            <w:r w:rsidRPr="00087012">
              <w:rPr>
                <w:rFonts w:ascii="Times New Roman" w:eastAsia="標楷體" w:hAnsi="Times New Roman" w:cs="Times New Roman" w:hint="eastAsia"/>
                <w:bCs/>
                <w:color w:val="000000"/>
                <w:szCs w:val="20"/>
              </w:rPr>
              <w:t xml:space="preserve"> </w:t>
            </w:r>
            <w:r w:rsidRPr="00087012">
              <w:rPr>
                <w:rFonts w:ascii="Times New Roman" w:eastAsia="標楷體" w:hAnsi="Times New Roman" w:cs="Times New Roman" w:hint="eastAsia"/>
                <w:bCs/>
                <w:color w:val="000000"/>
                <w:szCs w:val="20"/>
              </w:rPr>
              <w:t>□試量產</w:t>
            </w:r>
            <w:r w:rsidRPr="00087012">
              <w:rPr>
                <w:rFonts w:ascii="Times New Roman" w:eastAsia="標楷體" w:hAnsi="Times New Roman" w:cs="Times New Roman" w:hint="eastAsia"/>
                <w:bCs/>
                <w:color w:val="000000"/>
                <w:szCs w:val="20"/>
              </w:rPr>
              <w:t xml:space="preserve"> </w:t>
            </w:r>
            <w:r w:rsidRPr="00087012">
              <w:rPr>
                <w:rFonts w:ascii="Times New Roman" w:eastAsia="標楷體" w:hAnsi="Times New Roman" w:cs="Times New Roman"/>
                <w:bCs/>
                <w:color w:val="000000"/>
                <w:szCs w:val="20"/>
              </w:rPr>
              <w:t xml:space="preserve"> </w:t>
            </w:r>
            <w:r w:rsidRPr="00087012">
              <w:rPr>
                <w:rFonts w:ascii="Calibri" w:eastAsia="新細明體" w:hAnsi="Calibri" w:cs="Times New Roman" w:hint="eastAsia"/>
                <w:bCs/>
                <w:color w:val="000000"/>
                <w:szCs w:val="20"/>
              </w:rPr>
              <w:t>■</w:t>
            </w:r>
            <w:r w:rsidRPr="00087012">
              <w:rPr>
                <w:rFonts w:ascii="Times New Roman" w:eastAsia="標楷體" w:hAnsi="Times New Roman" w:cs="Times New Roman" w:hint="eastAsia"/>
                <w:bCs/>
                <w:color w:val="000000"/>
                <w:szCs w:val="20"/>
              </w:rPr>
              <w:t>雛形</w:t>
            </w:r>
            <w:r w:rsidRPr="00087012">
              <w:rPr>
                <w:rFonts w:ascii="Times New Roman" w:eastAsia="標楷體" w:hAnsi="Times New Roman" w:cs="Times New Roman"/>
                <w:bCs/>
                <w:color w:val="000000"/>
                <w:szCs w:val="20"/>
              </w:rPr>
              <w:t xml:space="preserve"> </w:t>
            </w:r>
            <w:r w:rsidRPr="00087012">
              <w:rPr>
                <w:rFonts w:ascii="Times New Roman" w:eastAsia="標楷體" w:hAnsi="Times New Roman" w:cs="Times New Roman" w:hint="eastAsia"/>
                <w:bCs/>
                <w:color w:val="000000"/>
                <w:szCs w:val="20"/>
              </w:rPr>
              <w:t xml:space="preserve"> </w:t>
            </w:r>
            <w:r w:rsidRPr="00087012">
              <w:rPr>
                <w:rFonts w:ascii="標楷體" w:eastAsia="標楷體" w:hAnsi="標楷體" w:cs="Times New Roman" w:hint="eastAsia"/>
                <w:bCs/>
                <w:color w:val="000000"/>
                <w:szCs w:val="20"/>
              </w:rPr>
              <w:t>□</w:t>
            </w:r>
            <w:r w:rsidRPr="00087012">
              <w:rPr>
                <w:rFonts w:ascii="Times New Roman" w:eastAsia="標楷體" w:hAnsi="Times New Roman" w:cs="Times New Roman" w:hint="eastAsia"/>
                <w:bCs/>
                <w:color w:val="000000"/>
                <w:szCs w:val="20"/>
              </w:rPr>
              <w:t>實驗室階段</w:t>
            </w:r>
            <w:r w:rsidRPr="00087012">
              <w:rPr>
                <w:rFonts w:ascii="Times New Roman" w:eastAsia="標楷體" w:hAnsi="Times New Roman" w:cs="Times New Roman" w:hint="eastAsia"/>
                <w:bCs/>
                <w:color w:val="000000"/>
                <w:szCs w:val="20"/>
              </w:rPr>
              <w:t xml:space="preserve"> </w:t>
            </w:r>
            <w:r w:rsidRPr="00087012">
              <w:rPr>
                <w:rFonts w:ascii="Times New Roman" w:eastAsia="標楷體" w:hAnsi="Times New Roman" w:cs="Times New Roman"/>
                <w:bCs/>
                <w:color w:val="000000"/>
                <w:szCs w:val="20"/>
              </w:rPr>
              <w:t xml:space="preserve"> </w:t>
            </w:r>
            <w:r w:rsidRPr="00087012">
              <w:rPr>
                <w:rFonts w:ascii="Times New Roman" w:eastAsia="標楷體" w:hAnsi="Times New Roman" w:cs="Times New Roman" w:hint="eastAsia"/>
                <w:bCs/>
                <w:color w:val="000000"/>
                <w:szCs w:val="20"/>
              </w:rPr>
              <w:t>□概念</w:t>
            </w:r>
            <w:r w:rsidRPr="00087012">
              <w:rPr>
                <w:rFonts w:ascii="Times New Roman" w:eastAsia="標楷體" w:hAnsi="Times New Roman" w:cs="Times New Roman"/>
                <w:bCs/>
                <w:color w:val="000000"/>
                <w:szCs w:val="20"/>
              </w:rPr>
              <w:t xml:space="preserve"> </w:t>
            </w:r>
          </w:p>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u w:val="single"/>
              </w:rPr>
            </w:pPr>
            <w:r w:rsidRPr="00087012">
              <w:rPr>
                <w:rFonts w:ascii="Times New Roman" w:eastAsia="標楷體" w:hAnsi="Times New Roman" w:cs="Times New Roman" w:hint="eastAsia"/>
                <w:bCs/>
                <w:color w:val="000000"/>
                <w:szCs w:val="20"/>
              </w:rPr>
              <w:t>□其他</w:t>
            </w:r>
            <w:r w:rsidRPr="00087012">
              <w:rPr>
                <w:rFonts w:ascii="標楷體" w:eastAsia="標楷體" w:hAnsi="標楷體" w:cs="Times New Roman" w:hint="eastAsia"/>
                <w:bCs/>
                <w:color w:val="000000"/>
                <w:szCs w:val="24"/>
                <w:u w:val="single"/>
              </w:rPr>
              <w:t xml:space="preserve"> </w:t>
            </w:r>
            <w:r w:rsidRPr="00087012">
              <w:rPr>
                <w:rFonts w:ascii="標楷體" w:eastAsia="標楷體" w:hAnsi="標楷體" w:cs="Times New Roman"/>
                <w:bCs/>
                <w:color w:val="000000"/>
                <w:szCs w:val="24"/>
                <w:u w:val="single"/>
              </w:rPr>
              <w:t xml:space="preserve"> </w:t>
            </w:r>
            <w:r w:rsidRPr="00087012">
              <w:rPr>
                <w:rFonts w:ascii="標楷體" w:eastAsia="標楷體" w:hAnsi="標楷體" w:cs="Times New Roman" w:hint="eastAsia"/>
                <w:bCs/>
                <w:color w:val="000000"/>
                <w:szCs w:val="24"/>
                <w:u w:val="single"/>
              </w:rPr>
              <w:t xml:space="preserve"> </w:t>
            </w:r>
            <w:r w:rsidRPr="00087012">
              <w:rPr>
                <w:rFonts w:ascii="標楷體" w:eastAsia="標楷體" w:hAnsi="標楷體" w:cs="Times New Roman"/>
                <w:bCs/>
                <w:color w:val="000000"/>
                <w:szCs w:val="24"/>
                <w:u w:val="single"/>
              </w:rPr>
              <w:t xml:space="preserve"> </w:t>
            </w:r>
            <w:r w:rsidRPr="00087012">
              <w:rPr>
                <w:rFonts w:ascii="標楷體" w:eastAsia="標楷體" w:hAnsi="標楷體" w:cs="Times New Roman" w:hint="eastAsia"/>
                <w:bCs/>
                <w:color w:val="000000"/>
                <w:szCs w:val="24"/>
                <w:u w:val="single"/>
              </w:rPr>
              <w:t xml:space="preserve"> </w:t>
            </w:r>
            <w:r w:rsidRPr="00087012">
              <w:rPr>
                <w:rFonts w:ascii="標楷體" w:eastAsia="標楷體" w:hAnsi="標楷體" w:cs="Times New Roman"/>
                <w:bCs/>
                <w:color w:val="000000"/>
                <w:szCs w:val="24"/>
                <w:u w:val="single"/>
              </w:rPr>
              <w:t xml:space="preserve"> </w:t>
            </w:r>
            <w:r w:rsidRPr="00087012">
              <w:rPr>
                <w:rFonts w:ascii="標楷體" w:eastAsia="標楷體" w:hAnsi="標楷體" w:cs="Times New Roman" w:hint="eastAsia"/>
                <w:bCs/>
                <w:color w:val="000000"/>
                <w:szCs w:val="24"/>
                <w:u w:val="single"/>
              </w:rPr>
              <w:t xml:space="preserve"> </w:t>
            </w:r>
            <w:r w:rsidRPr="00087012">
              <w:rPr>
                <w:rFonts w:ascii="標楷體" w:eastAsia="標楷體" w:hAnsi="標楷體" w:cs="Times New Roman"/>
                <w:bCs/>
                <w:color w:val="000000"/>
                <w:szCs w:val="24"/>
                <w:u w:val="single"/>
              </w:rPr>
              <w:t xml:space="preserve"> </w:t>
            </w:r>
            <w:r w:rsidRPr="00087012">
              <w:rPr>
                <w:rFonts w:ascii="標楷體" w:eastAsia="標楷體" w:hAnsi="標楷體" w:cs="Times New Roman" w:hint="eastAsia"/>
                <w:bCs/>
                <w:color w:val="000000"/>
                <w:szCs w:val="24"/>
                <w:u w:val="single"/>
              </w:rPr>
              <w:t xml:space="preserve"> </w:t>
            </w:r>
            <w:r w:rsidRPr="00087012">
              <w:rPr>
                <w:rFonts w:ascii="標楷體" w:eastAsia="標楷體" w:hAnsi="標楷體" w:cs="Times New Roman"/>
                <w:bCs/>
                <w:color w:val="000000"/>
                <w:szCs w:val="24"/>
                <w:u w:val="single"/>
              </w:rPr>
              <w:t xml:space="preserve"> </w:t>
            </w:r>
          </w:p>
        </w:tc>
      </w:tr>
      <w:tr w:rsidR="00087012" w:rsidRPr="00087012" w:rsidTr="007D5248">
        <w:trPr>
          <w:jc w:val="center"/>
        </w:trPr>
        <w:tc>
          <w:tcPr>
            <w:tcW w:w="2155"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rPr>
            </w:pPr>
            <w:r w:rsidRPr="00087012">
              <w:rPr>
                <w:rFonts w:ascii="Times New Roman" w:eastAsia="標楷體" w:hAnsi="Times New Roman" w:cs="Times New Roman" w:hint="eastAsia"/>
                <w:bCs/>
                <w:color w:val="000000"/>
                <w:szCs w:val="20"/>
              </w:rPr>
              <w:t>可應用範圍</w:t>
            </w:r>
          </w:p>
        </w:tc>
        <w:tc>
          <w:tcPr>
            <w:tcW w:w="7484"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rPr>
            </w:pPr>
            <w:r w:rsidRPr="00087012">
              <w:rPr>
                <w:rFonts w:ascii="Times New Roman" w:eastAsia="標楷體" w:hAnsi="Times New Roman" w:cs="Times New Roman" w:hint="eastAsia"/>
                <w:bCs/>
                <w:color w:val="000000"/>
                <w:szCs w:val="20"/>
              </w:rPr>
              <w:t>食品製造業、保健食品業、照</w:t>
            </w:r>
            <w:proofErr w:type="gramStart"/>
            <w:r w:rsidRPr="00087012">
              <w:rPr>
                <w:rFonts w:ascii="Times New Roman" w:eastAsia="標楷體" w:hAnsi="Times New Roman" w:cs="Times New Roman" w:hint="eastAsia"/>
                <w:bCs/>
                <w:color w:val="000000"/>
                <w:szCs w:val="20"/>
              </w:rPr>
              <w:t>護團膳業</w:t>
            </w:r>
            <w:proofErr w:type="gramEnd"/>
            <w:r w:rsidRPr="00087012">
              <w:rPr>
                <w:rFonts w:ascii="Times New Roman" w:eastAsia="標楷體" w:hAnsi="Times New Roman" w:cs="Times New Roman" w:hint="eastAsia"/>
                <w:bCs/>
                <w:color w:val="000000"/>
                <w:szCs w:val="20"/>
              </w:rPr>
              <w:t>。</w:t>
            </w:r>
          </w:p>
        </w:tc>
      </w:tr>
      <w:tr w:rsidR="00087012" w:rsidRPr="00087012" w:rsidTr="007D5248">
        <w:trPr>
          <w:jc w:val="center"/>
        </w:trPr>
        <w:tc>
          <w:tcPr>
            <w:tcW w:w="2155"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rPr>
            </w:pPr>
            <w:r w:rsidRPr="00087012">
              <w:rPr>
                <w:rFonts w:ascii="Times New Roman" w:eastAsia="標楷體" w:hAnsi="Times New Roman" w:cs="Times New Roman" w:hint="eastAsia"/>
                <w:bCs/>
                <w:color w:val="000000"/>
                <w:szCs w:val="20"/>
              </w:rPr>
              <w:t>潛力預估</w:t>
            </w:r>
          </w:p>
        </w:tc>
        <w:tc>
          <w:tcPr>
            <w:tcW w:w="7484"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rPr>
            </w:pPr>
            <w:r w:rsidRPr="00087012">
              <w:rPr>
                <w:rFonts w:ascii="Times New Roman" w:eastAsia="標楷體" w:hAnsi="Times New Roman" w:cs="Times New Roman" w:hint="eastAsia"/>
                <w:bCs/>
                <w:color w:val="000000"/>
                <w:szCs w:val="20"/>
              </w:rPr>
              <w:t>本技術應用於</w:t>
            </w:r>
            <w:proofErr w:type="gramStart"/>
            <w:r w:rsidRPr="00087012">
              <w:rPr>
                <w:rFonts w:ascii="Times New Roman" w:eastAsia="標楷體" w:hAnsi="Times New Roman" w:cs="Times New Roman" w:hint="eastAsia"/>
                <w:bCs/>
                <w:color w:val="000000"/>
                <w:szCs w:val="20"/>
              </w:rPr>
              <w:t>國產畜肉原態生</w:t>
            </w:r>
            <w:proofErr w:type="gramEnd"/>
            <w:r w:rsidRPr="00087012">
              <w:rPr>
                <w:rFonts w:ascii="Times New Roman" w:eastAsia="標楷體" w:hAnsi="Times New Roman" w:cs="Times New Roman" w:hint="eastAsia"/>
                <w:bCs/>
                <w:color w:val="000000"/>
                <w:szCs w:val="20"/>
              </w:rPr>
              <w:t>食材質地調整，可將不同質地等級食材開發技術移轉至食品工廠，藉由建立高壓製程和酵素浸漬處理協助業者進行不同質地等級生食材開發，利於餐食多樣烹調應用。</w:t>
            </w:r>
          </w:p>
        </w:tc>
      </w:tr>
      <w:tr w:rsidR="00087012" w:rsidRPr="00087012" w:rsidTr="007D5248">
        <w:trPr>
          <w:jc w:val="center"/>
        </w:trPr>
        <w:tc>
          <w:tcPr>
            <w:tcW w:w="2155"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rPr>
            </w:pPr>
            <w:r w:rsidRPr="00087012">
              <w:rPr>
                <w:rFonts w:ascii="Times New Roman" w:eastAsia="標楷體" w:hAnsi="Times New Roman" w:cs="Times New Roman" w:hint="eastAsia"/>
                <w:bCs/>
                <w:color w:val="000000"/>
                <w:szCs w:val="20"/>
              </w:rPr>
              <w:t>合作方式</w:t>
            </w:r>
          </w:p>
        </w:tc>
        <w:tc>
          <w:tcPr>
            <w:tcW w:w="7484"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rPr>
            </w:pPr>
            <w:r w:rsidRPr="00087012">
              <w:rPr>
                <w:rFonts w:ascii="Times New Roman" w:eastAsia="標楷體" w:hAnsi="Times New Roman" w:cs="Times New Roman" w:hint="eastAsia"/>
                <w:bCs/>
                <w:color w:val="000000"/>
                <w:szCs w:val="20"/>
              </w:rPr>
              <w:t>原則</w:t>
            </w:r>
            <w:proofErr w:type="gramStart"/>
            <w:r w:rsidRPr="00087012">
              <w:rPr>
                <w:rFonts w:ascii="Times New Roman" w:eastAsia="標楷體" w:hAnsi="Times New Roman" w:cs="Times New Roman" w:hint="eastAsia"/>
                <w:bCs/>
                <w:color w:val="000000"/>
                <w:szCs w:val="20"/>
              </w:rPr>
              <w:t>採</w:t>
            </w:r>
            <w:proofErr w:type="gramEnd"/>
            <w:r w:rsidRPr="00087012">
              <w:rPr>
                <w:rFonts w:ascii="Times New Roman" w:eastAsia="標楷體" w:hAnsi="Times New Roman" w:cs="Times New Roman" w:hint="eastAsia"/>
                <w:bCs/>
                <w:color w:val="000000"/>
                <w:szCs w:val="20"/>
              </w:rPr>
              <w:t>非專屬授權，有意專屬授權之業者，可</w:t>
            </w:r>
            <w:proofErr w:type="gramStart"/>
            <w:r w:rsidRPr="00087012">
              <w:rPr>
                <w:rFonts w:ascii="Times New Roman" w:eastAsia="標楷體" w:hAnsi="Times New Roman" w:cs="Times New Roman" w:hint="eastAsia"/>
                <w:bCs/>
                <w:color w:val="000000"/>
                <w:szCs w:val="20"/>
              </w:rPr>
              <w:t>逕</w:t>
            </w:r>
            <w:proofErr w:type="gramEnd"/>
            <w:r w:rsidRPr="00087012">
              <w:rPr>
                <w:rFonts w:ascii="Times New Roman" w:eastAsia="標楷體" w:hAnsi="Times New Roman" w:cs="Times New Roman" w:hint="eastAsia"/>
                <w:bCs/>
                <w:color w:val="000000"/>
                <w:szCs w:val="20"/>
              </w:rPr>
              <w:t>洽聯絡人員。</w:t>
            </w:r>
          </w:p>
        </w:tc>
      </w:tr>
      <w:tr w:rsidR="00087012" w:rsidRPr="00087012" w:rsidTr="007D5248">
        <w:trPr>
          <w:jc w:val="center"/>
        </w:trPr>
        <w:tc>
          <w:tcPr>
            <w:tcW w:w="2155"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rPr>
            </w:pPr>
            <w:r w:rsidRPr="00087012">
              <w:rPr>
                <w:rFonts w:ascii="Times New Roman" w:eastAsia="標楷體" w:hAnsi="Times New Roman" w:cs="Times New Roman" w:hint="eastAsia"/>
                <w:bCs/>
                <w:color w:val="000000"/>
                <w:szCs w:val="20"/>
              </w:rPr>
              <w:t>所須軟硬體設備</w:t>
            </w:r>
          </w:p>
        </w:tc>
        <w:tc>
          <w:tcPr>
            <w:tcW w:w="7484" w:type="dxa"/>
            <w:vAlign w:val="center"/>
            <w:hideMark/>
          </w:tcPr>
          <w:p w:rsidR="00087012" w:rsidRPr="00087012" w:rsidRDefault="00087012" w:rsidP="00087012">
            <w:pPr>
              <w:snapToGrid w:val="0"/>
              <w:spacing w:before="80" w:after="80"/>
              <w:ind w:left="57" w:right="57"/>
              <w:jc w:val="both"/>
              <w:rPr>
                <w:rFonts w:ascii="標楷體" w:eastAsia="標楷體" w:hAnsi="標楷體" w:cs="Times New Roman"/>
                <w:bCs/>
                <w:color w:val="000000"/>
                <w:szCs w:val="20"/>
              </w:rPr>
            </w:pPr>
            <w:r w:rsidRPr="00087012">
              <w:rPr>
                <w:rFonts w:ascii="Times New Roman" w:eastAsia="標楷體" w:hAnsi="Times New Roman" w:cs="Times New Roman" w:hint="eastAsia"/>
                <w:bCs/>
                <w:color w:val="000000"/>
                <w:szCs w:val="20"/>
              </w:rPr>
              <w:t>食品加工製造設備</w:t>
            </w:r>
            <w:r w:rsidRPr="00087012">
              <w:rPr>
                <w:rFonts w:ascii="Calibri" w:eastAsia="新細明體" w:hAnsi="Calibri" w:cs="Times New Roman" w:hint="eastAsia"/>
                <w:bCs/>
                <w:color w:val="000000"/>
                <w:szCs w:val="20"/>
              </w:rPr>
              <w:t>。</w:t>
            </w:r>
          </w:p>
        </w:tc>
      </w:tr>
      <w:tr w:rsidR="00087012" w:rsidRPr="00087012" w:rsidTr="007D5248">
        <w:trPr>
          <w:jc w:val="center"/>
        </w:trPr>
        <w:tc>
          <w:tcPr>
            <w:tcW w:w="2155"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rPr>
            </w:pPr>
            <w:r w:rsidRPr="00087012">
              <w:rPr>
                <w:rFonts w:ascii="Times New Roman" w:eastAsia="標楷體" w:hAnsi="Times New Roman" w:cs="Times New Roman" w:hint="eastAsia"/>
                <w:bCs/>
                <w:color w:val="000000"/>
                <w:szCs w:val="20"/>
              </w:rPr>
              <w:t>須具備之專業人才</w:t>
            </w:r>
          </w:p>
        </w:tc>
        <w:tc>
          <w:tcPr>
            <w:tcW w:w="7484" w:type="dxa"/>
            <w:vAlign w:val="center"/>
            <w:hideMark/>
          </w:tcPr>
          <w:p w:rsidR="00087012" w:rsidRPr="00087012" w:rsidRDefault="00087012" w:rsidP="00087012">
            <w:pPr>
              <w:snapToGrid w:val="0"/>
              <w:spacing w:before="80" w:after="80"/>
              <w:ind w:left="57" w:right="57"/>
              <w:jc w:val="both"/>
              <w:rPr>
                <w:rFonts w:ascii="標楷體" w:eastAsia="標楷體" w:hAnsi="標楷體" w:cs="Times New Roman"/>
                <w:bCs/>
                <w:color w:val="000000"/>
                <w:szCs w:val="20"/>
              </w:rPr>
            </w:pPr>
            <w:r w:rsidRPr="00087012">
              <w:rPr>
                <w:rFonts w:ascii="Times New Roman" w:eastAsia="標楷體" w:hAnsi="Times New Roman" w:cs="Times New Roman" w:hint="eastAsia"/>
                <w:bCs/>
                <w:color w:val="000000"/>
                <w:szCs w:val="20"/>
              </w:rPr>
              <w:t>食品相關領域人才。</w:t>
            </w:r>
          </w:p>
        </w:tc>
      </w:tr>
      <w:tr w:rsidR="00087012" w:rsidRPr="00087012" w:rsidTr="007D5248">
        <w:trPr>
          <w:jc w:val="center"/>
        </w:trPr>
        <w:tc>
          <w:tcPr>
            <w:tcW w:w="2155"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rPr>
            </w:pPr>
            <w:r w:rsidRPr="00087012">
              <w:rPr>
                <w:rFonts w:ascii="Times New Roman" w:eastAsia="標楷體" w:hAnsi="Times New Roman" w:cs="Times New Roman" w:hint="eastAsia"/>
                <w:bCs/>
                <w:color w:val="000000"/>
                <w:szCs w:val="20"/>
              </w:rPr>
              <w:t>聯絡人員</w:t>
            </w:r>
          </w:p>
        </w:tc>
        <w:tc>
          <w:tcPr>
            <w:tcW w:w="7484" w:type="dxa"/>
            <w:vAlign w:val="center"/>
            <w:hideMark/>
          </w:tcPr>
          <w:p w:rsidR="00087012" w:rsidRPr="00087012" w:rsidRDefault="00087012" w:rsidP="00087012">
            <w:pPr>
              <w:snapToGrid w:val="0"/>
              <w:spacing w:before="80" w:after="80"/>
              <w:ind w:left="964" w:right="57" w:hanging="907"/>
              <w:rPr>
                <w:rFonts w:ascii="Times New Roman" w:eastAsia="標楷體" w:hAnsi="Times New Roman" w:cs="Times New Roman"/>
                <w:bCs/>
                <w:color w:val="000000"/>
                <w:szCs w:val="20"/>
              </w:rPr>
            </w:pPr>
            <w:proofErr w:type="gramStart"/>
            <w:r w:rsidRPr="00087012">
              <w:rPr>
                <w:rFonts w:ascii="Times New Roman" w:eastAsia="標楷體" w:hAnsi="Times New Roman" w:cs="Times New Roman" w:hint="eastAsia"/>
                <w:bCs/>
                <w:color w:val="000000"/>
                <w:szCs w:val="20"/>
              </w:rPr>
              <w:t>李佑軒</w:t>
            </w:r>
            <w:proofErr w:type="gramEnd"/>
            <w:r w:rsidRPr="00087012">
              <w:rPr>
                <w:rFonts w:ascii="Times New Roman" w:eastAsia="標楷體" w:hAnsi="Times New Roman" w:cs="Times New Roman"/>
                <w:bCs/>
                <w:color w:val="000000"/>
                <w:szCs w:val="20"/>
              </w:rPr>
              <w:tab/>
              <w:t>Tel: 03-5223191</w:t>
            </w:r>
            <w:r w:rsidRPr="00087012">
              <w:rPr>
                <w:rFonts w:ascii="Times New Roman" w:eastAsia="標楷體" w:hAnsi="Times New Roman" w:cs="Times New Roman" w:hint="eastAsia"/>
                <w:bCs/>
                <w:color w:val="000000"/>
                <w:szCs w:val="20"/>
              </w:rPr>
              <w:t>轉</w:t>
            </w:r>
            <w:r w:rsidRPr="00087012">
              <w:rPr>
                <w:rFonts w:ascii="Times New Roman" w:eastAsia="標楷體" w:hAnsi="Times New Roman" w:cs="Times New Roman"/>
                <w:bCs/>
                <w:color w:val="000000"/>
                <w:szCs w:val="20"/>
              </w:rPr>
              <w:t>759</w:t>
            </w:r>
            <w:r w:rsidRPr="00087012">
              <w:rPr>
                <w:rFonts w:ascii="Times New Roman" w:eastAsia="標楷體" w:hAnsi="Times New Roman" w:cs="Times New Roman" w:hint="eastAsia"/>
                <w:bCs/>
                <w:color w:val="000000"/>
                <w:szCs w:val="20"/>
              </w:rPr>
              <w:t>；</w:t>
            </w:r>
            <w:r w:rsidRPr="00087012">
              <w:rPr>
                <w:rFonts w:ascii="Times New Roman" w:eastAsia="標楷體" w:hAnsi="Times New Roman" w:cs="Times New Roman"/>
                <w:bCs/>
                <w:color w:val="000000"/>
                <w:szCs w:val="20"/>
              </w:rPr>
              <w:t>Fax: 03-5214016</w:t>
            </w:r>
            <w:r w:rsidRPr="00087012">
              <w:rPr>
                <w:rFonts w:ascii="Times New Roman" w:eastAsia="標楷體" w:hAnsi="Times New Roman" w:cs="Times New Roman" w:hint="eastAsia"/>
                <w:bCs/>
                <w:color w:val="000000"/>
                <w:szCs w:val="20"/>
              </w:rPr>
              <w:t>；</w:t>
            </w:r>
            <w:r w:rsidRPr="00087012">
              <w:rPr>
                <w:rFonts w:ascii="Times New Roman" w:eastAsia="標楷體" w:hAnsi="Times New Roman" w:cs="Times New Roman"/>
                <w:bCs/>
                <w:color w:val="000000"/>
                <w:szCs w:val="20"/>
              </w:rPr>
              <w:br/>
              <w:t xml:space="preserve">E-mail: </w:t>
            </w:r>
            <w:hyperlink r:id="rId7" w:history="1">
              <w:r w:rsidRPr="00087012">
                <w:rPr>
                  <w:rFonts w:ascii="Times New Roman" w:eastAsia="標楷體" w:hAnsi="Times New Roman" w:cs="Times New Roman"/>
                  <w:bCs/>
                  <w:color w:val="000000"/>
                  <w:szCs w:val="20"/>
                </w:rPr>
                <w:t>lyh15@firdi.org.tw</w:t>
              </w:r>
            </w:hyperlink>
          </w:p>
          <w:p w:rsidR="00087012" w:rsidRPr="00087012" w:rsidRDefault="00087012" w:rsidP="00087012">
            <w:pPr>
              <w:snapToGrid w:val="0"/>
              <w:spacing w:before="80" w:after="80"/>
              <w:ind w:left="964" w:right="57" w:hanging="907"/>
              <w:rPr>
                <w:rFonts w:ascii="Times New Roman" w:eastAsia="標楷體" w:hAnsi="Times New Roman" w:cs="Times New Roman"/>
                <w:bCs/>
                <w:color w:val="000000"/>
                <w:szCs w:val="20"/>
              </w:rPr>
            </w:pPr>
            <w:r w:rsidRPr="00087012">
              <w:rPr>
                <w:rFonts w:ascii="Times New Roman" w:eastAsia="標楷體" w:hAnsi="Times New Roman" w:cs="Times New Roman" w:hint="eastAsia"/>
                <w:bCs/>
                <w:color w:val="000000"/>
                <w:szCs w:val="20"/>
              </w:rPr>
              <w:t>王怡晶</w:t>
            </w:r>
            <w:r w:rsidRPr="00087012">
              <w:rPr>
                <w:rFonts w:ascii="Times New Roman" w:eastAsia="標楷體" w:hAnsi="Times New Roman" w:cs="Times New Roman"/>
                <w:bCs/>
                <w:color w:val="000000"/>
                <w:szCs w:val="20"/>
              </w:rPr>
              <w:tab/>
              <w:t>Tel: 03-5223191</w:t>
            </w:r>
            <w:r w:rsidRPr="00087012">
              <w:rPr>
                <w:rFonts w:ascii="Times New Roman" w:eastAsia="標楷體" w:hAnsi="Times New Roman" w:cs="Times New Roman" w:hint="eastAsia"/>
                <w:bCs/>
                <w:color w:val="000000"/>
                <w:szCs w:val="20"/>
              </w:rPr>
              <w:t>轉</w:t>
            </w:r>
            <w:r w:rsidRPr="00087012">
              <w:rPr>
                <w:rFonts w:ascii="Times New Roman" w:eastAsia="標楷體" w:hAnsi="Times New Roman" w:cs="Times New Roman"/>
                <w:bCs/>
                <w:color w:val="000000"/>
                <w:szCs w:val="20"/>
              </w:rPr>
              <w:t>376</w:t>
            </w:r>
            <w:r w:rsidRPr="00087012">
              <w:rPr>
                <w:rFonts w:ascii="Times New Roman" w:eastAsia="標楷體" w:hAnsi="Times New Roman" w:cs="Times New Roman" w:hint="eastAsia"/>
                <w:bCs/>
                <w:color w:val="000000"/>
                <w:szCs w:val="20"/>
              </w:rPr>
              <w:t>；</w:t>
            </w:r>
            <w:r w:rsidRPr="00087012">
              <w:rPr>
                <w:rFonts w:ascii="Times New Roman" w:eastAsia="標楷體" w:hAnsi="Times New Roman" w:cs="Times New Roman"/>
                <w:bCs/>
                <w:color w:val="000000"/>
                <w:szCs w:val="20"/>
              </w:rPr>
              <w:t>Fax: 03-5214016</w:t>
            </w:r>
            <w:r w:rsidRPr="00087012">
              <w:rPr>
                <w:rFonts w:ascii="Times New Roman" w:eastAsia="標楷體" w:hAnsi="Times New Roman" w:cs="Times New Roman" w:hint="eastAsia"/>
                <w:bCs/>
                <w:color w:val="000000"/>
                <w:szCs w:val="20"/>
              </w:rPr>
              <w:t>；</w:t>
            </w:r>
            <w:r w:rsidRPr="00087012">
              <w:rPr>
                <w:rFonts w:ascii="Times New Roman" w:eastAsia="標楷體" w:hAnsi="Times New Roman" w:cs="Times New Roman"/>
                <w:bCs/>
                <w:color w:val="000000"/>
                <w:szCs w:val="20"/>
              </w:rPr>
              <w:br/>
              <w:t xml:space="preserve">E-mail: </w:t>
            </w:r>
            <w:hyperlink r:id="rId8" w:history="1">
              <w:r w:rsidRPr="00087012">
                <w:rPr>
                  <w:rFonts w:ascii="Times New Roman" w:eastAsia="標楷體" w:hAnsi="Times New Roman" w:cs="Times New Roman"/>
                  <w:bCs/>
                  <w:color w:val="000000"/>
                  <w:szCs w:val="20"/>
                </w:rPr>
                <w:t>icw@firdi.org.tw</w:t>
              </w:r>
            </w:hyperlink>
          </w:p>
        </w:tc>
      </w:tr>
      <w:tr w:rsidR="00087012" w:rsidRPr="00087012" w:rsidTr="007D5248">
        <w:trPr>
          <w:jc w:val="center"/>
        </w:trPr>
        <w:tc>
          <w:tcPr>
            <w:tcW w:w="2155"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Cs w:val="20"/>
              </w:rPr>
            </w:pPr>
            <w:r w:rsidRPr="00087012">
              <w:rPr>
                <w:rFonts w:ascii="Times New Roman" w:eastAsia="標楷體" w:hAnsi="Times New Roman" w:cs="Times New Roman" w:hint="eastAsia"/>
                <w:bCs/>
                <w:color w:val="000000"/>
                <w:szCs w:val="20"/>
              </w:rPr>
              <w:t>備註</w:t>
            </w:r>
          </w:p>
        </w:tc>
        <w:tc>
          <w:tcPr>
            <w:tcW w:w="7484" w:type="dxa"/>
            <w:vAlign w:val="center"/>
            <w:hideMark/>
          </w:tcPr>
          <w:p w:rsidR="00087012" w:rsidRPr="00087012" w:rsidRDefault="00087012" w:rsidP="00087012">
            <w:pPr>
              <w:snapToGrid w:val="0"/>
              <w:spacing w:before="80" w:after="80"/>
              <w:ind w:left="57" w:right="57"/>
              <w:jc w:val="both"/>
              <w:rPr>
                <w:rFonts w:ascii="Times New Roman" w:eastAsia="標楷體" w:hAnsi="Times New Roman" w:cs="Times New Roman"/>
                <w:bCs/>
                <w:color w:val="000000"/>
                <w:sz w:val="20"/>
                <w:szCs w:val="20"/>
              </w:rPr>
            </w:pPr>
            <w:r w:rsidRPr="00087012">
              <w:rPr>
                <w:rFonts w:ascii="Times New Roman" w:eastAsia="標楷體" w:hAnsi="Times New Roman" w:cs="Times New Roman" w:hint="eastAsia"/>
                <w:bCs/>
                <w:color w:val="000000"/>
                <w:sz w:val="22"/>
                <w:szCs w:val="20"/>
              </w:rPr>
              <w:t>未來若</w:t>
            </w:r>
            <w:proofErr w:type="gramStart"/>
            <w:r w:rsidRPr="00087012">
              <w:rPr>
                <w:rFonts w:ascii="Times New Roman" w:eastAsia="標楷體" w:hAnsi="Times New Roman" w:cs="Times New Roman" w:hint="eastAsia"/>
                <w:bCs/>
                <w:color w:val="000000"/>
                <w:sz w:val="22"/>
                <w:szCs w:val="20"/>
              </w:rPr>
              <w:t>採</w:t>
            </w:r>
            <w:proofErr w:type="gramEnd"/>
            <w:r w:rsidRPr="00087012">
              <w:rPr>
                <w:rFonts w:ascii="Times New Roman" w:eastAsia="標楷體" w:hAnsi="Times New Roman" w:cs="Times New Roman" w:hint="eastAsia"/>
                <w:bCs/>
                <w:color w:val="000000"/>
                <w:sz w:val="22"/>
                <w:szCs w:val="20"/>
              </w:rPr>
              <w:t>專屬授權，依經濟部科學技術研究發展成果歸屬及運用辦法</w:t>
            </w:r>
            <w:r w:rsidRPr="00087012">
              <w:rPr>
                <w:rFonts w:ascii="標楷體" w:eastAsia="標楷體" w:hAnsi="標楷體" w:cs="Times New Roman" w:hint="eastAsia"/>
                <w:bCs/>
                <w:color w:val="000000"/>
                <w:sz w:val="22"/>
                <w:szCs w:val="20"/>
              </w:rPr>
              <w:t>、</w:t>
            </w:r>
            <w:r w:rsidRPr="00087012">
              <w:rPr>
                <w:rFonts w:ascii="Times New Roman" w:eastAsia="標楷體" w:hAnsi="Times New Roman" w:cs="Times New Roman" w:hint="eastAsia"/>
                <w:bCs/>
                <w:color w:val="000000"/>
                <w:sz w:val="22"/>
                <w:szCs w:val="20"/>
              </w:rPr>
              <w:t>行政院農業委員會科學技術研究發展成果歸屬及運用辦法，本所將另行對外公告專屬授權之條件及相關規範。</w:t>
            </w:r>
          </w:p>
        </w:tc>
      </w:tr>
    </w:tbl>
    <w:p w:rsidR="007E0D4E" w:rsidRPr="00087012" w:rsidRDefault="007E0D4E"/>
    <w:sectPr w:rsidR="007E0D4E" w:rsidRPr="00087012" w:rsidSect="00EC5435">
      <w:pgSz w:w="11906" w:h="16838"/>
      <w:pgMar w:top="1440" w:right="1797"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7CC" w:rsidRDefault="00CD47CC" w:rsidP="006F4098">
      <w:r>
        <w:separator/>
      </w:r>
    </w:p>
  </w:endnote>
  <w:endnote w:type="continuationSeparator" w:id="0">
    <w:p w:rsidR="00CD47CC" w:rsidRDefault="00CD47CC" w:rsidP="006F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7CC" w:rsidRDefault="00CD47CC" w:rsidP="006F4098">
      <w:r>
        <w:separator/>
      </w:r>
    </w:p>
  </w:footnote>
  <w:footnote w:type="continuationSeparator" w:id="0">
    <w:p w:rsidR="00CD47CC" w:rsidRDefault="00CD47CC" w:rsidP="006F4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70EA1"/>
    <w:multiLevelType w:val="hybridMultilevel"/>
    <w:tmpl w:val="DAC40D24"/>
    <w:lvl w:ilvl="0" w:tplc="CBB45C0C">
      <w:start w:val="1"/>
      <w:numFmt w:val="bullet"/>
      <w:lvlText w:val=""/>
      <w:lvlJc w:val="left"/>
      <w:pPr>
        <w:ind w:left="537" w:hanging="480"/>
      </w:pPr>
      <w:rPr>
        <w:rFonts w:ascii="Wingdings" w:hAnsi="Wingdings" w:hint="default"/>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1" w15:restartNumberingAfterBreak="0">
    <w:nsid w:val="34A968AA"/>
    <w:multiLevelType w:val="hybridMultilevel"/>
    <w:tmpl w:val="02DE4836"/>
    <w:lvl w:ilvl="0" w:tplc="CBB45C0C">
      <w:start w:val="1"/>
      <w:numFmt w:val="bullet"/>
      <w:lvlText w:val=""/>
      <w:lvlJc w:val="left"/>
      <w:pPr>
        <w:ind w:left="537" w:hanging="480"/>
      </w:pPr>
      <w:rPr>
        <w:rFonts w:ascii="Wingdings" w:hAnsi="Wingdings" w:hint="default"/>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F7"/>
    <w:rsid w:val="00072DD8"/>
    <w:rsid w:val="00087012"/>
    <w:rsid w:val="000A474B"/>
    <w:rsid w:val="000B4455"/>
    <w:rsid w:val="00104340"/>
    <w:rsid w:val="001248C2"/>
    <w:rsid w:val="001A7E9B"/>
    <w:rsid w:val="0024532E"/>
    <w:rsid w:val="00266C71"/>
    <w:rsid w:val="0036250A"/>
    <w:rsid w:val="004C074D"/>
    <w:rsid w:val="005F5FEA"/>
    <w:rsid w:val="006F4098"/>
    <w:rsid w:val="006F7564"/>
    <w:rsid w:val="0076652B"/>
    <w:rsid w:val="0079471A"/>
    <w:rsid w:val="007E0D4E"/>
    <w:rsid w:val="007E5CBC"/>
    <w:rsid w:val="0080024E"/>
    <w:rsid w:val="00861A31"/>
    <w:rsid w:val="009164E1"/>
    <w:rsid w:val="009A535D"/>
    <w:rsid w:val="00AA3262"/>
    <w:rsid w:val="00AA4F4C"/>
    <w:rsid w:val="00B157F6"/>
    <w:rsid w:val="00B40780"/>
    <w:rsid w:val="00B670FE"/>
    <w:rsid w:val="00C34335"/>
    <w:rsid w:val="00C36798"/>
    <w:rsid w:val="00CD47CC"/>
    <w:rsid w:val="00D67528"/>
    <w:rsid w:val="00DF04B5"/>
    <w:rsid w:val="00EA44B0"/>
    <w:rsid w:val="00EC4DC5"/>
    <w:rsid w:val="00EC5435"/>
    <w:rsid w:val="00EE2B06"/>
    <w:rsid w:val="00F53EF7"/>
    <w:rsid w:val="00FC6C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39DD8"/>
  <w15:chartTrackingRefBased/>
  <w15:docId w15:val="{737BB73B-5498-4598-9590-C049CC5B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098"/>
    <w:pPr>
      <w:tabs>
        <w:tab w:val="center" w:pos="4153"/>
        <w:tab w:val="right" w:pos="8306"/>
      </w:tabs>
      <w:snapToGrid w:val="0"/>
    </w:pPr>
    <w:rPr>
      <w:sz w:val="20"/>
      <w:szCs w:val="20"/>
    </w:rPr>
  </w:style>
  <w:style w:type="character" w:customStyle="1" w:styleId="a4">
    <w:name w:val="頁首 字元"/>
    <w:basedOn w:val="a0"/>
    <w:link w:val="a3"/>
    <w:uiPriority w:val="99"/>
    <w:rsid w:val="006F4098"/>
    <w:rPr>
      <w:sz w:val="20"/>
      <w:szCs w:val="20"/>
    </w:rPr>
  </w:style>
  <w:style w:type="paragraph" w:styleId="a5">
    <w:name w:val="footer"/>
    <w:basedOn w:val="a"/>
    <w:link w:val="a6"/>
    <w:uiPriority w:val="99"/>
    <w:unhideWhenUsed/>
    <w:rsid w:val="006F4098"/>
    <w:pPr>
      <w:tabs>
        <w:tab w:val="center" w:pos="4153"/>
        <w:tab w:val="right" w:pos="8306"/>
      </w:tabs>
      <w:snapToGrid w:val="0"/>
    </w:pPr>
    <w:rPr>
      <w:sz w:val="20"/>
      <w:szCs w:val="20"/>
    </w:rPr>
  </w:style>
  <w:style w:type="character" w:customStyle="1" w:styleId="a6">
    <w:name w:val="頁尾 字元"/>
    <w:basedOn w:val="a0"/>
    <w:link w:val="a5"/>
    <w:uiPriority w:val="99"/>
    <w:rsid w:val="006F40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w@firdi.org.tw" TargetMode="External"/><Relationship Id="rId3" Type="http://schemas.openxmlformats.org/officeDocument/2006/relationships/settings" Target="settings.xml"/><Relationship Id="rId7" Type="http://schemas.openxmlformats.org/officeDocument/2006/relationships/hyperlink" Target="mailto:twt@firdi.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高韶蔭</dc:creator>
  <cp:keywords/>
  <dc:description/>
  <cp:lastModifiedBy>高韶蔭</cp:lastModifiedBy>
  <cp:revision>2</cp:revision>
  <dcterms:created xsi:type="dcterms:W3CDTF">2023-03-08T15:07:00Z</dcterms:created>
  <dcterms:modified xsi:type="dcterms:W3CDTF">2023-03-08T15:07:00Z</dcterms:modified>
</cp:coreProperties>
</file>