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6902"/>
      </w:tblGrid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技術名稱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bookmarkStart w:id="0" w:name="_GoBack"/>
            <w:r w:rsidRPr="00C06F3A">
              <w:rPr>
                <w:rFonts w:hint="eastAsia"/>
                <w:color w:val="000000"/>
              </w:rPr>
              <w:t>油脂品質近紅外光檢測技術</w:t>
            </w:r>
            <w:bookmarkEnd w:id="0"/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本所技術編號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color w:val="000000"/>
              </w:rPr>
              <w:t>VT1090</w:t>
            </w:r>
            <w:r w:rsidRPr="00C06F3A">
              <w:rPr>
                <w:rFonts w:hint="eastAsia"/>
                <w:color w:val="000000"/>
              </w:rPr>
              <w:t>7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技術現況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  <w:szCs w:val="28"/>
              </w:rPr>
            </w:pPr>
            <w:r w:rsidRPr="00C06F3A">
              <w:rPr>
                <w:color w:val="000000"/>
                <w:szCs w:val="28"/>
              </w:rPr>
              <w:t>本技術可透過近紅外線光譜檢測技術快速分析</w:t>
            </w:r>
            <w:proofErr w:type="gramStart"/>
            <w:r w:rsidRPr="00C06F3A">
              <w:rPr>
                <w:color w:val="000000"/>
                <w:szCs w:val="28"/>
              </w:rPr>
              <w:t>油脂酸價及</w:t>
            </w:r>
            <w:proofErr w:type="gramEnd"/>
            <w:r w:rsidRPr="00C06F3A">
              <w:rPr>
                <w:color w:val="000000"/>
                <w:szCs w:val="28"/>
              </w:rPr>
              <w:t>過氧化價等主要品質指標，改善傳統化學分析方法耗時耗工，且須使用化學藥劑及產生廢液之問題。目前可以全光譜近紅外光檢測儀進行</w:t>
            </w:r>
            <w:proofErr w:type="gramStart"/>
            <w:r w:rsidRPr="00C06F3A">
              <w:rPr>
                <w:color w:val="000000"/>
                <w:szCs w:val="28"/>
              </w:rPr>
              <w:t>油脂酸價及</w:t>
            </w:r>
            <w:proofErr w:type="gramEnd"/>
            <w:r w:rsidRPr="00C06F3A">
              <w:rPr>
                <w:color w:val="000000"/>
                <w:szCs w:val="28"/>
              </w:rPr>
              <w:t>過氧化價快速分析。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技術規格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-1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1.</w:t>
            </w:r>
            <w:r w:rsidRPr="00C06F3A">
              <w:rPr>
                <w:rFonts w:hint="eastAsia"/>
                <w:color w:val="000000"/>
              </w:rPr>
              <w:tab/>
            </w:r>
            <w:proofErr w:type="gramStart"/>
            <w:r w:rsidRPr="00C06F3A">
              <w:rPr>
                <w:color w:val="000000"/>
              </w:rPr>
              <w:t>油脂酸價</w:t>
            </w:r>
            <w:proofErr w:type="gramEnd"/>
            <w:r w:rsidRPr="00C06F3A">
              <w:rPr>
                <w:color w:val="000000"/>
              </w:rPr>
              <w:t>：與標準化學分析法誤差</w:t>
            </w:r>
            <w:proofErr w:type="gramStart"/>
            <w:r w:rsidRPr="00C06F3A">
              <w:rPr>
                <w:rFonts w:ascii="新細明體" w:eastAsia="新細明體" w:hAnsi="新細明體" w:cs="新細明體" w:hint="eastAsia"/>
                <w:color w:val="000000"/>
              </w:rPr>
              <w:t>≦</w:t>
            </w:r>
            <w:proofErr w:type="gramEnd"/>
            <w:r w:rsidRPr="00C06F3A">
              <w:rPr>
                <w:color w:val="000000"/>
              </w:rPr>
              <w:t>8%</w:t>
            </w:r>
            <w:r w:rsidRPr="00C06F3A">
              <w:rPr>
                <w:color w:val="000000"/>
              </w:rPr>
              <w:t>，或</w:t>
            </w:r>
            <w:proofErr w:type="gramStart"/>
            <w:r w:rsidRPr="00C06F3A">
              <w:rPr>
                <w:rFonts w:ascii="新細明體" w:eastAsia="新細明體" w:hAnsi="新細明體" w:cs="新細明體" w:hint="eastAsia"/>
                <w:color w:val="000000"/>
              </w:rPr>
              <w:t>≦</w:t>
            </w:r>
            <w:proofErr w:type="gramEnd"/>
            <w:r w:rsidRPr="00C06F3A">
              <w:rPr>
                <w:color w:val="000000"/>
              </w:rPr>
              <w:t>±0.05 mg KOH/g</w:t>
            </w:r>
            <w:r w:rsidRPr="00C06F3A">
              <w:rPr>
                <w:color w:val="000000"/>
              </w:rPr>
              <w:t>。</w:t>
            </w:r>
          </w:p>
          <w:p w:rsidR="00795C26" w:rsidRPr="00C06F3A" w:rsidRDefault="00795C26" w:rsidP="002F76D7">
            <w:pPr>
              <w:pStyle w:val="2-1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2.</w:t>
            </w:r>
            <w:r w:rsidRPr="00C06F3A">
              <w:rPr>
                <w:rFonts w:hint="eastAsia"/>
                <w:color w:val="000000"/>
              </w:rPr>
              <w:tab/>
            </w:r>
            <w:r w:rsidRPr="00C06F3A">
              <w:rPr>
                <w:color w:val="000000"/>
              </w:rPr>
              <w:t>油脂過氧化價：與標準化學分析法誤差</w:t>
            </w:r>
            <w:proofErr w:type="gramStart"/>
            <w:r w:rsidRPr="00C06F3A">
              <w:rPr>
                <w:rFonts w:ascii="新細明體" w:eastAsia="新細明體" w:hAnsi="新細明體" w:cs="新細明體" w:hint="eastAsia"/>
                <w:color w:val="000000"/>
              </w:rPr>
              <w:t>≦</w:t>
            </w:r>
            <w:proofErr w:type="gramEnd"/>
            <w:r w:rsidRPr="00C06F3A">
              <w:rPr>
                <w:color w:val="000000"/>
              </w:rPr>
              <w:t>8%</w:t>
            </w:r>
            <w:r w:rsidRPr="00C06F3A">
              <w:rPr>
                <w:color w:val="000000"/>
              </w:rPr>
              <w:t>，或</w:t>
            </w:r>
            <w:proofErr w:type="gramStart"/>
            <w:r w:rsidRPr="00C06F3A">
              <w:rPr>
                <w:rFonts w:ascii="新細明體" w:eastAsia="新細明體" w:hAnsi="新細明體" w:cs="新細明體" w:hint="eastAsia"/>
                <w:color w:val="000000"/>
              </w:rPr>
              <w:t>≦</w:t>
            </w:r>
            <w:proofErr w:type="gramEnd"/>
            <w:r w:rsidRPr="00C06F3A">
              <w:rPr>
                <w:color w:val="000000"/>
              </w:rPr>
              <w:t xml:space="preserve">±0.5 </w:t>
            </w:r>
            <w:proofErr w:type="spellStart"/>
            <w:r w:rsidRPr="00C06F3A">
              <w:rPr>
                <w:color w:val="000000"/>
              </w:rPr>
              <w:t>meq</w:t>
            </w:r>
            <w:proofErr w:type="spellEnd"/>
            <w:r w:rsidRPr="00C06F3A">
              <w:rPr>
                <w:color w:val="000000"/>
              </w:rPr>
              <w:t>/kg</w:t>
            </w:r>
            <w:r w:rsidRPr="00C06F3A">
              <w:rPr>
                <w:color w:val="000000"/>
              </w:rPr>
              <w:t>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技術成熟度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□量產</w:t>
            </w:r>
            <w:r w:rsidRPr="00C06F3A">
              <w:rPr>
                <w:rFonts w:hint="eastAsia"/>
                <w:color w:val="000000"/>
              </w:rPr>
              <w:t xml:space="preserve">  </w:t>
            </w:r>
            <w:r w:rsidRPr="00C06F3A">
              <w:rPr>
                <w:rFonts w:hint="eastAsia"/>
                <w:color w:val="000000"/>
              </w:rPr>
              <w:t>□試量產</w:t>
            </w:r>
            <w:r w:rsidRPr="00C06F3A">
              <w:rPr>
                <w:rFonts w:hint="eastAsia"/>
                <w:color w:val="000000"/>
              </w:rPr>
              <w:t xml:space="preserve"> </w:t>
            </w:r>
            <w:r w:rsidRPr="00C06F3A">
              <w:rPr>
                <w:color w:val="000000"/>
              </w:rPr>
              <w:t xml:space="preserve"> </w:t>
            </w:r>
            <w:r w:rsidRPr="00C06F3A">
              <w:rPr>
                <w:rFonts w:hint="eastAsia"/>
                <w:color w:val="000000"/>
              </w:rPr>
              <w:t>□雛形</w:t>
            </w:r>
            <w:r w:rsidRPr="00C06F3A">
              <w:rPr>
                <w:rFonts w:hint="eastAsia"/>
                <w:color w:val="000000"/>
              </w:rPr>
              <w:t xml:space="preserve">  </w:t>
            </w:r>
            <w:r w:rsidRPr="00C06F3A">
              <w:rPr>
                <w:rFonts w:ascii="標楷體" w:hAnsi="標楷體" w:hint="eastAsia"/>
                <w:color w:val="000000"/>
              </w:rPr>
              <w:t>■</w:t>
            </w:r>
            <w:r w:rsidRPr="00C06F3A">
              <w:rPr>
                <w:rFonts w:hint="eastAsia"/>
                <w:color w:val="000000"/>
              </w:rPr>
              <w:t>實驗室階段</w:t>
            </w:r>
            <w:r w:rsidRPr="00C06F3A">
              <w:rPr>
                <w:rFonts w:hint="eastAsia"/>
                <w:color w:val="000000"/>
              </w:rPr>
              <w:t xml:space="preserve"> </w:t>
            </w:r>
            <w:r w:rsidRPr="00C06F3A">
              <w:rPr>
                <w:color w:val="000000"/>
              </w:rPr>
              <w:t xml:space="preserve"> </w:t>
            </w:r>
            <w:r w:rsidRPr="00C06F3A">
              <w:rPr>
                <w:rFonts w:hint="eastAsia"/>
                <w:color w:val="000000"/>
              </w:rPr>
              <w:t>□概念</w:t>
            </w:r>
            <w:r w:rsidRPr="00C06F3A">
              <w:rPr>
                <w:rFonts w:hint="eastAsia"/>
                <w:color w:val="000000"/>
              </w:rPr>
              <w:t xml:space="preserve"> </w:t>
            </w:r>
          </w:p>
          <w:p w:rsidR="00795C26" w:rsidRPr="00C06F3A" w:rsidRDefault="00795C26" w:rsidP="002F76D7">
            <w:pPr>
              <w:pStyle w:val="2"/>
              <w:rPr>
                <w:color w:val="000000"/>
                <w:u w:val="single"/>
              </w:rPr>
            </w:pPr>
            <w:r w:rsidRPr="00C06F3A">
              <w:rPr>
                <w:rFonts w:hint="eastAsia"/>
                <w:color w:val="000000"/>
              </w:rPr>
              <w:t>□其他</w:t>
            </w:r>
            <w:r w:rsidRPr="00C06F3A">
              <w:rPr>
                <w:rFonts w:hint="eastAsia"/>
                <w:color w:val="000000"/>
                <w:u w:val="single"/>
              </w:rPr>
              <w:t xml:space="preserve">          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可應用範圍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color w:val="000000"/>
              </w:rPr>
              <w:t>油脂製造業、食品產業</w:t>
            </w:r>
            <w:r w:rsidRPr="00C06F3A">
              <w:rPr>
                <w:rFonts w:hint="eastAsia"/>
                <w:color w:val="000000"/>
              </w:rPr>
              <w:t>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潛力預估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color w:val="000000"/>
              </w:rPr>
              <w:t>食用油脂為食品產業重要產品及配料，且產品應用範圍廣。由於油脂易受環境及製程之影響</w:t>
            </w:r>
            <w:proofErr w:type="gramStart"/>
            <w:r w:rsidRPr="00C06F3A">
              <w:rPr>
                <w:color w:val="000000"/>
              </w:rPr>
              <w:t>而劣變</w:t>
            </w:r>
            <w:proofErr w:type="gramEnd"/>
            <w:r w:rsidRPr="00C06F3A">
              <w:rPr>
                <w:color w:val="000000"/>
              </w:rPr>
              <w:t>，其品質與安全對食品產業發展具有重大的影響，故快速、精</w:t>
            </w:r>
            <w:proofErr w:type="gramStart"/>
            <w:r w:rsidRPr="00C06F3A">
              <w:rPr>
                <w:color w:val="000000"/>
              </w:rPr>
              <w:t>準</w:t>
            </w:r>
            <w:proofErr w:type="gramEnd"/>
            <w:r w:rsidRPr="00C06F3A">
              <w:rPr>
                <w:color w:val="000000"/>
              </w:rPr>
              <w:t>且穩定的油脂品質分析技術具有極大之產業需求</w:t>
            </w:r>
            <w:r w:rsidRPr="00C06F3A">
              <w:rPr>
                <w:color w:val="000000"/>
                <w:szCs w:val="28"/>
              </w:rPr>
              <w:t>。本技術利用近紅外線光譜技術分析油脂品質，具有快速、穩定、非破壞性及</w:t>
            </w:r>
            <w:proofErr w:type="gramStart"/>
            <w:r w:rsidRPr="00C06F3A">
              <w:rPr>
                <w:color w:val="000000"/>
                <w:szCs w:val="28"/>
              </w:rPr>
              <w:t>可線上檢測</w:t>
            </w:r>
            <w:proofErr w:type="gramEnd"/>
            <w:r w:rsidRPr="00C06F3A">
              <w:rPr>
                <w:color w:val="000000"/>
                <w:szCs w:val="28"/>
              </w:rPr>
              <w:t>等優點，可用於原料驗收、製程控制及產品品質檢測，應用範圍廣。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合作方式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原則</w:t>
            </w:r>
            <w:proofErr w:type="gramStart"/>
            <w:r w:rsidRPr="00C06F3A">
              <w:rPr>
                <w:rFonts w:hint="eastAsia"/>
                <w:color w:val="000000"/>
              </w:rPr>
              <w:t>採</w:t>
            </w:r>
            <w:proofErr w:type="gramEnd"/>
            <w:r w:rsidRPr="00C06F3A">
              <w:rPr>
                <w:rFonts w:hint="eastAsia"/>
                <w:color w:val="000000"/>
              </w:rPr>
              <w:t>非專屬授權，有意專屬授權之業者，可</w:t>
            </w:r>
            <w:proofErr w:type="gramStart"/>
            <w:r w:rsidRPr="00C06F3A">
              <w:rPr>
                <w:rFonts w:hint="eastAsia"/>
                <w:color w:val="000000"/>
              </w:rPr>
              <w:t>逕</w:t>
            </w:r>
            <w:proofErr w:type="gramEnd"/>
            <w:r w:rsidRPr="00C06F3A">
              <w:rPr>
                <w:rFonts w:hint="eastAsia"/>
                <w:color w:val="000000"/>
              </w:rPr>
              <w:t>洽聯絡人員。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所須軟硬體設備</w:t>
            </w:r>
          </w:p>
        </w:tc>
        <w:tc>
          <w:tcPr>
            <w:tcW w:w="6902" w:type="dxa"/>
            <w:vAlign w:val="center"/>
          </w:tcPr>
          <w:p w:rsidR="00795C26" w:rsidRPr="00C06F3A" w:rsidRDefault="00795C26" w:rsidP="002F76D7">
            <w:pPr>
              <w:pStyle w:val="2"/>
              <w:rPr>
                <w:rFonts w:ascii="標楷體" w:hAnsi="標楷體"/>
                <w:color w:val="000000"/>
              </w:rPr>
            </w:pPr>
            <w:r w:rsidRPr="00C06F3A">
              <w:rPr>
                <w:color w:val="000000"/>
              </w:rPr>
              <w:t>近紅外光光譜分析儀</w:t>
            </w:r>
            <w:r w:rsidRPr="00C06F3A">
              <w:rPr>
                <w:rFonts w:hint="eastAsia"/>
                <w:color w:val="000000"/>
              </w:rPr>
              <w:t>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須具備之專業人才</w:t>
            </w:r>
          </w:p>
        </w:tc>
        <w:tc>
          <w:tcPr>
            <w:tcW w:w="6902" w:type="dxa"/>
            <w:tcBorders>
              <w:bottom w:val="single" w:sz="4" w:space="0" w:color="auto"/>
            </w:tcBorders>
            <w:vAlign w:val="center"/>
          </w:tcPr>
          <w:p w:rsidR="00795C26" w:rsidRPr="00C06F3A" w:rsidRDefault="00795C26" w:rsidP="002F76D7">
            <w:pPr>
              <w:pStyle w:val="2"/>
              <w:rPr>
                <w:rFonts w:ascii="標楷體" w:hAnsi="標楷體"/>
                <w:color w:val="000000"/>
              </w:rPr>
            </w:pPr>
            <w:r w:rsidRPr="00C06F3A">
              <w:rPr>
                <w:color w:val="000000"/>
              </w:rPr>
              <w:t>食品</w:t>
            </w:r>
            <w:r w:rsidRPr="00C06F3A">
              <w:rPr>
                <w:rFonts w:hint="eastAsia"/>
                <w:color w:val="000000"/>
              </w:rPr>
              <w:t>科技</w:t>
            </w:r>
            <w:r w:rsidRPr="00C06F3A">
              <w:rPr>
                <w:color w:val="000000"/>
              </w:rPr>
              <w:t>、</w:t>
            </w:r>
            <w:r w:rsidRPr="00C06F3A">
              <w:rPr>
                <w:rFonts w:hint="eastAsia"/>
                <w:color w:val="000000"/>
              </w:rPr>
              <w:t>統計運算。</w:t>
            </w:r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聯絡人員</w:t>
            </w:r>
          </w:p>
        </w:tc>
        <w:tc>
          <w:tcPr>
            <w:tcW w:w="6902" w:type="dxa"/>
            <w:tcBorders>
              <w:top w:val="single" w:sz="4" w:space="0" w:color="auto"/>
              <w:bottom w:val="nil"/>
            </w:tcBorders>
            <w:vAlign w:val="center"/>
          </w:tcPr>
          <w:p w:rsidR="00795C26" w:rsidRPr="00795C26" w:rsidRDefault="00795C26" w:rsidP="002F76D7">
            <w:pPr>
              <w:pStyle w:val="2-"/>
              <w:rPr>
                <w:color w:val="auto"/>
              </w:rPr>
            </w:pPr>
            <w:r w:rsidRPr="00C06F3A">
              <w:rPr>
                <w:rFonts w:hint="eastAsia"/>
              </w:rPr>
              <w:t>董志宏</w:t>
            </w:r>
            <w:r w:rsidRPr="00C06F3A">
              <w:rPr>
                <w:rFonts w:hint="eastAsia"/>
              </w:rPr>
              <w:tab/>
              <w:t xml:space="preserve">Tel: </w:t>
            </w:r>
            <w:r w:rsidRPr="00C06F3A">
              <w:t>03-5223191</w:t>
            </w:r>
            <w:r w:rsidRPr="00C06F3A">
              <w:rPr>
                <w:rFonts w:hint="eastAsia"/>
              </w:rPr>
              <w:t>轉</w:t>
            </w:r>
            <w:r w:rsidRPr="00C06F3A">
              <w:rPr>
                <w:rFonts w:hint="eastAsia"/>
              </w:rPr>
              <w:t>332</w:t>
            </w:r>
            <w:r w:rsidRPr="00C06F3A">
              <w:rPr>
                <w:rFonts w:hint="eastAsia"/>
              </w:rPr>
              <w:t>；</w:t>
            </w:r>
            <w:r w:rsidRPr="00C06F3A">
              <w:rPr>
                <w:rFonts w:hint="eastAsia"/>
              </w:rPr>
              <w:t>Fax:</w:t>
            </w:r>
            <w:r w:rsidRPr="00C06F3A">
              <w:t xml:space="preserve"> 03-521</w:t>
            </w:r>
            <w:r w:rsidRPr="00C06F3A">
              <w:rPr>
                <w:rFonts w:hint="eastAsia"/>
              </w:rPr>
              <w:t>4016</w:t>
            </w:r>
            <w:r w:rsidRPr="00C06F3A">
              <w:rPr>
                <w:rFonts w:hint="eastAsia"/>
              </w:rPr>
              <w:t>；</w:t>
            </w:r>
            <w:r w:rsidRPr="00C06F3A">
              <w:br/>
            </w:r>
            <w:r w:rsidRPr="00795C26">
              <w:rPr>
                <w:rFonts w:hint="eastAsia"/>
                <w:color w:val="auto"/>
              </w:rPr>
              <w:t xml:space="preserve">E-mail: </w:t>
            </w:r>
            <w:hyperlink r:id="rId4" w:history="1">
              <w:r w:rsidRPr="00795C26">
                <w:rPr>
                  <w:rStyle w:val="a3"/>
                  <w:color w:val="auto"/>
                  <w:u w:val="none"/>
                </w:rPr>
                <w:t>djh@firdi.org.tw</w:t>
              </w:r>
            </w:hyperlink>
          </w:p>
          <w:p w:rsidR="00795C26" w:rsidRPr="00C06F3A" w:rsidRDefault="00795C26" w:rsidP="002F76D7">
            <w:pPr>
              <w:pStyle w:val="2-"/>
            </w:pPr>
            <w:r w:rsidRPr="00795C26">
              <w:rPr>
                <w:rFonts w:hint="eastAsia"/>
                <w:color w:val="auto"/>
              </w:rPr>
              <w:t>蘇鼎元</w:t>
            </w:r>
            <w:r w:rsidRPr="00795C26">
              <w:rPr>
                <w:rFonts w:hint="eastAsia"/>
                <w:color w:val="auto"/>
              </w:rPr>
              <w:tab/>
              <w:t xml:space="preserve">Tel: </w:t>
            </w:r>
            <w:r w:rsidRPr="00795C26">
              <w:rPr>
                <w:color w:val="auto"/>
              </w:rPr>
              <w:t>03-5223191</w:t>
            </w:r>
            <w:r w:rsidRPr="00795C26">
              <w:rPr>
                <w:rFonts w:hint="eastAsia"/>
                <w:color w:val="auto"/>
              </w:rPr>
              <w:t>轉</w:t>
            </w:r>
            <w:r w:rsidRPr="00795C26">
              <w:rPr>
                <w:rFonts w:hint="eastAsia"/>
                <w:color w:val="auto"/>
              </w:rPr>
              <w:t>372</w:t>
            </w:r>
            <w:r w:rsidRPr="00795C26">
              <w:rPr>
                <w:rFonts w:hint="eastAsia"/>
                <w:color w:val="auto"/>
              </w:rPr>
              <w:t>；</w:t>
            </w:r>
            <w:r w:rsidRPr="00795C26">
              <w:rPr>
                <w:rFonts w:hint="eastAsia"/>
                <w:color w:val="auto"/>
              </w:rPr>
              <w:t>Fax:</w:t>
            </w:r>
            <w:r w:rsidRPr="00795C26">
              <w:rPr>
                <w:color w:val="auto"/>
              </w:rPr>
              <w:t xml:space="preserve"> 03-521</w:t>
            </w:r>
            <w:r w:rsidRPr="00795C26">
              <w:rPr>
                <w:rFonts w:hint="eastAsia"/>
                <w:color w:val="auto"/>
              </w:rPr>
              <w:t>4016</w:t>
            </w:r>
            <w:r w:rsidRPr="00795C26">
              <w:rPr>
                <w:rFonts w:hint="eastAsia"/>
                <w:color w:val="auto"/>
              </w:rPr>
              <w:t>；</w:t>
            </w:r>
            <w:r w:rsidRPr="00795C26">
              <w:rPr>
                <w:color w:val="auto"/>
              </w:rPr>
              <w:br/>
            </w:r>
            <w:r w:rsidRPr="00795C26">
              <w:rPr>
                <w:rFonts w:hint="eastAsia"/>
                <w:color w:val="auto"/>
              </w:rPr>
              <w:t xml:space="preserve">E-mail: </w:t>
            </w:r>
            <w:hyperlink r:id="rId5" w:history="1">
              <w:r w:rsidRPr="00795C26">
                <w:rPr>
                  <w:rStyle w:val="a3"/>
                  <w:color w:val="auto"/>
                  <w:u w:val="none"/>
                </w:rPr>
                <w:t>d</w:t>
              </w:r>
              <w:r w:rsidRPr="00795C26">
                <w:rPr>
                  <w:rStyle w:val="a3"/>
                  <w:rFonts w:hint="eastAsia"/>
                  <w:color w:val="auto"/>
                  <w:u w:val="none"/>
                </w:rPr>
                <w:t>ys</w:t>
              </w:r>
              <w:r w:rsidRPr="00795C26">
                <w:rPr>
                  <w:rStyle w:val="a3"/>
                  <w:color w:val="auto"/>
                  <w:u w:val="none"/>
                </w:rPr>
                <w:t>@firdi.org.tw</w:t>
              </w:r>
            </w:hyperlink>
          </w:p>
        </w:tc>
      </w:tr>
      <w:tr w:rsidR="00795C26" w:rsidRPr="00C06F3A" w:rsidTr="00795C26">
        <w:trPr>
          <w:jc w:val="center"/>
        </w:trPr>
        <w:tc>
          <w:tcPr>
            <w:tcW w:w="2155" w:type="dxa"/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</w:rPr>
            </w:pPr>
            <w:r w:rsidRPr="00C06F3A">
              <w:rPr>
                <w:rFonts w:hint="eastAsia"/>
                <w:color w:val="000000"/>
              </w:rPr>
              <w:t>備註</w:t>
            </w:r>
          </w:p>
        </w:tc>
        <w:tc>
          <w:tcPr>
            <w:tcW w:w="6902" w:type="dxa"/>
            <w:tcBorders>
              <w:top w:val="single" w:sz="4" w:space="0" w:color="auto"/>
            </w:tcBorders>
            <w:vAlign w:val="center"/>
          </w:tcPr>
          <w:p w:rsidR="00795C26" w:rsidRPr="00C06F3A" w:rsidRDefault="00795C26" w:rsidP="002F76D7">
            <w:pPr>
              <w:pStyle w:val="2"/>
              <w:rPr>
                <w:color w:val="000000"/>
                <w:sz w:val="20"/>
              </w:rPr>
            </w:pPr>
            <w:r w:rsidRPr="00C06F3A">
              <w:rPr>
                <w:rFonts w:hint="eastAsia"/>
                <w:color w:val="000000"/>
                <w:sz w:val="22"/>
              </w:rPr>
              <w:t>未來若</w:t>
            </w:r>
            <w:proofErr w:type="gramStart"/>
            <w:r w:rsidRPr="00C06F3A">
              <w:rPr>
                <w:rFonts w:hint="eastAsia"/>
                <w:color w:val="000000"/>
                <w:sz w:val="22"/>
              </w:rPr>
              <w:t>採</w:t>
            </w:r>
            <w:proofErr w:type="gramEnd"/>
            <w:r w:rsidRPr="00C06F3A">
              <w:rPr>
                <w:rFonts w:hint="eastAsia"/>
                <w:color w:val="000000"/>
                <w:sz w:val="22"/>
              </w:rPr>
              <w:t>專屬授權，依經濟部科學技術研究發展成果歸屬及運用辦法</w:t>
            </w:r>
            <w:r w:rsidRPr="00C06F3A">
              <w:rPr>
                <w:rFonts w:ascii="標楷體" w:hAnsi="標楷體" w:hint="eastAsia"/>
                <w:color w:val="000000"/>
                <w:sz w:val="22"/>
              </w:rPr>
              <w:t>、</w:t>
            </w:r>
            <w:r w:rsidRPr="00C06F3A">
              <w:rPr>
                <w:rFonts w:hint="eastAsia"/>
                <w:color w:val="000000"/>
                <w:sz w:val="22"/>
              </w:rPr>
              <w:t>行政院農業委員會科學技術研究發展成果歸屬及運用辦法，本所將另行對外公告專屬授權之條件及相關規範。</w:t>
            </w:r>
          </w:p>
        </w:tc>
      </w:tr>
    </w:tbl>
    <w:p w:rsidR="00853F0E" w:rsidRPr="00795C26" w:rsidRDefault="00853F0E"/>
    <w:sectPr w:rsidR="00853F0E" w:rsidRPr="00795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26"/>
    <w:rsid w:val="00795C26"/>
    <w:rsid w:val="008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2BA88-8F32-4A55-AA28-A98302D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C26"/>
    <w:rPr>
      <w:color w:val="0000FF"/>
      <w:u w:val="single"/>
    </w:rPr>
  </w:style>
  <w:style w:type="paragraph" w:customStyle="1" w:styleId="2-1">
    <w:name w:val="表2-1"/>
    <w:basedOn w:val="2"/>
    <w:qFormat/>
    <w:rsid w:val="00795C26"/>
    <w:pPr>
      <w:ind w:left="295" w:hanging="238"/>
    </w:pPr>
  </w:style>
  <w:style w:type="paragraph" w:customStyle="1" w:styleId="2">
    <w:name w:val="表2"/>
    <w:basedOn w:val="a"/>
    <w:qFormat/>
    <w:rsid w:val="00795C26"/>
    <w:pPr>
      <w:snapToGrid w:val="0"/>
      <w:spacing w:before="80" w:after="80"/>
      <w:ind w:left="57" w:right="57"/>
      <w:jc w:val="both"/>
    </w:pPr>
    <w:rPr>
      <w:rFonts w:eastAsia="標楷體"/>
      <w:bCs/>
    </w:rPr>
  </w:style>
  <w:style w:type="paragraph" w:customStyle="1" w:styleId="2-">
    <w:name w:val="表2-聯絡人"/>
    <w:basedOn w:val="2"/>
    <w:uiPriority w:val="99"/>
    <w:qFormat/>
    <w:rsid w:val="00795C26"/>
    <w:pPr>
      <w:ind w:left="964" w:hanging="907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@firdi.org.tw" TargetMode="External"/><Relationship Id="rId4" Type="http://schemas.openxmlformats.org/officeDocument/2006/relationships/hyperlink" Target="mailto:djh@fird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2021-04-03T15:08:00Z</dcterms:created>
  <dcterms:modified xsi:type="dcterms:W3CDTF">2021-04-03T15:08:00Z</dcterms:modified>
</cp:coreProperties>
</file>